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Calibri" w:cs="Calibri" w:eastAsia="Calibri" w:hAnsi="Calibri"/>
          <w:b w:val="1"/>
          <w:bCs w:val="1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مالي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1"/>
        </w:rPr>
        <w:t xml:space="preserve">سنوي</w:t>
      </w:r>
    </w:p>
    <w:p w:rsidR="00000000" w:rsidDel="00000000" w:rsidP="00000000" w:rsidRDefault="00000000" w:rsidRPr="00000000" w14:paraId="0000000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صفحة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الغلاف</w:t>
      </w:r>
    </w:p>
    <w:p w:rsidR="00000000" w:rsidDel="00000000" w:rsidP="00000000" w:rsidRDefault="00000000" w:rsidRPr="00000000" w14:paraId="00000004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التقرير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التقرير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السنوي</w:t>
      </w:r>
    </w:p>
    <w:p w:rsidR="00000000" w:rsidDel="00000000" w:rsidP="00000000" w:rsidRDefault="00000000" w:rsidRPr="00000000" w14:paraId="0000000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</w:p>
    <w:p w:rsidR="00000000" w:rsidDel="00000000" w:rsidP="00000000" w:rsidRDefault="00000000" w:rsidRPr="00000000" w14:paraId="0000000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شعار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</w:p>
    <w:p w:rsidR="00000000" w:rsidDel="00000000" w:rsidP="00000000" w:rsidRDefault="00000000" w:rsidRPr="00000000" w14:paraId="0000000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مجلس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الإدارة</w:t>
      </w:r>
    </w:p>
    <w:p w:rsidR="00000000" w:rsidDel="00000000" w:rsidP="00000000" w:rsidRDefault="00000000" w:rsidRPr="00000000" w14:paraId="0000000C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يسعدنا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التقرير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السنوي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لمؤسستنا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المنتهية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……………./………………./………………..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شهدت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التطورات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انعكست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إيجاب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واصلنا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أهدافنا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الاستراتيجية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مكانتنا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واجهت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التحديات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تعاملنا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بكفاءة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خطط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مدروسة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واستراتيجيات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مستقرة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ومستدامة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نبذة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المؤسسة</w:t>
      </w:r>
    </w:p>
    <w:p w:rsidR="00000000" w:rsidDel="00000000" w:rsidP="00000000" w:rsidRDefault="00000000" w:rsidRPr="00000000" w14:paraId="0000001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طبيعة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الرؤية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الرسالة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الهيكل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التنظيمي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1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إنجازات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السنة</w:t>
      </w:r>
    </w:p>
    <w:p w:rsidR="00000000" w:rsidDel="00000000" w:rsidP="00000000" w:rsidRDefault="00000000" w:rsidRPr="00000000" w14:paraId="0000001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نمو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الإيرادات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%].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التوسع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أسواق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منتجات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الكفاءة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وخفض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التكاليف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والعمليات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التحديات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والخطط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المستقبلية</w:t>
      </w:r>
    </w:p>
    <w:p w:rsidR="00000000" w:rsidDel="00000000" w:rsidP="00000000" w:rsidRDefault="00000000" w:rsidRPr="00000000" w14:paraId="00000020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d9d9d9" w:val="clear"/>
          <w:rtl w:val="1"/>
        </w:rPr>
        <w:t xml:space="preserve">التحديات</w:t>
      </w:r>
    </w:p>
    <w:p w:rsidR="00000000" w:rsidDel="00000000" w:rsidP="00000000" w:rsidRDefault="00000000" w:rsidRPr="00000000" w14:paraId="00000024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تقلبات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6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المنافسة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التكاليف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cccccc" w:val="clear"/>
          <w:rtl w:val="1"/>
        </w:rPr>
        <w:t xml:space="preserve">الخطط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cccc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cccccc" w:val="clear"/>
          <w:rtl w:val="1"/>
        </w:rPr>
        <w:t xml:space="preserve">المستقبلية</w:t>
      </w:r>
    </w:p>
    <w:p w:rsidR="00000000" w:rsidDel="00000000" w:rsidP="00000000" w:rsidRDefault="00000000" w:rsidRPr="00000000" w14:paraId="0000002A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9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التوسع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الأسواق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9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والخدمات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9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التكنولوجيا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والتحول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الإيضاحات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المرفقة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بالقوائم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المالية</w:t>
      </w:r>
    </w:p>
    <w:p w:rsidR="00000000" w:rsidDel="00000000" w:rsidP="00000000" w:rsidRDefault="00000000" w:rsidRPr="00000000" w14:paraId="00000030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تعتمد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المحاسبية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المتوافقة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المعايير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 </w:t>
      </w:r>
    </w:p>
    <w:p w:rsidR="00000000" w:rsidDel="00000000" w:rsidP="00000000" w:rsidRDefault="00000000" w:rsidRPr="00000000" w14:paraId="0000003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</w:t>
        <w:br w:type="textWrapping"/>
        <w:t xml:space="preserve">……………………………………………………….</w:t>
        <w:br w:type="textWrapping"/>
        <w:t xml:space="preserve">……………………………………………………</w:t>
      </w:r>
    </w:p>
    <w:p w:rsidR="00000000" w:rsidDel="00000000" w:rsidP="00000000" w:rsidRDefault="00000000" w:rsidRPr="00000000" w14:paraId="00000033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مراجع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المدقق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الخارجي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35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رأينا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القوائم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بعدالة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ووضوح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للمعايير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المحاسبية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المعتمدة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التحفظات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وجدت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): ……………………………………………………………………………………….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والحوكمة</w:t>
      </w:r>
    </w:p>
    <w:p w:rsidR="00000000" w:rsidDel="00000000" w:rsidP="00000000" w:rsidRDefault="00000000" w:rsidRPr="00000000" w14:paraId="0000003B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cccccc" w:val="clear"/>
          <w:rtl w:val="1"/>
        </w:rPr>
        <w:t xml:space="preserve">المخاطر</w:t>
      </w:r>
    </w:p>
    <w:p w:rsidR="00000000" w:rsidDel="00000000" w:rsidP="00000000" w:rsidRDefault="00000000" w:rsidRPr="00000000" w14:paraId="0000003D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</w:p>
    <w:p w:rsidR="00000000" w:rsidDel="00000000" w:rsidP="00000000" w:rsidRDefault="00000000" w:rsidRPr="00000000" w14:paraId="0000003F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التشغيلية</w:t>
      </w:r>
    </w:p>
    <w:p w:rsidR="00000000" w:rsidDel="00000000" w:rsidP="00000000" w:rsidRDefault="00000000" w:rsidRPr="00000000" w14:paraId="00000040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مخاطر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السوق</w:t>
      </w:r>
    </w:p>
    <w:p w:rsidR="00000000" w:rsidDel="00000000" w:rsidP="00000000" w:rsidRDefault="00000000" w:rsidRPr="00000000" w14:paraId="0000004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المالية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8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توفر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لتغطية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الالتزامات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قصيرة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الأجل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8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سداد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مستحقاتهم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8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الفائدة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القروض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والاستثمارات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8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خسائر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تقلب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الأجنبية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التشغيلية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0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توقف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يؤثر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0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أخطاء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0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ضعف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الكفاءة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0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تأخر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توقف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الموردين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السوق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دخول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منافسين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المنافسين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الحاليين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تفضيلات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السوق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انخفاض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استقرار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الطلب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5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القانونية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والتنظيمية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5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فرض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قوانين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تؤثر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مخالفة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لغرامات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قضايا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موردين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الاستراتيجية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استراتيجيات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دخول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أسواق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بدون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وضوح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الرؤية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المستقبلية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D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التكنولوجية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اختراق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فقدان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حساسة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أنظمة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قديمة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فعالة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مخاطر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خارجية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تضخم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ركود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اقتصادي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زلازل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فيضانات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حرائق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تغيرات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سياسية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تؤثر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5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المخاطر</w:t>
      </w:r>
    </w:p>
    <w:p w:rsidR="00000000" w:rsidDel="00000000" w:rsidP="00000000" w:rsidRDefault="00000000" w:rsidRPr="00000000" w14:paraId="0000006A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تتبنى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فعالة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المخاطر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تهدف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تقليل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التأثيرات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السلبية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استمرارية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C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الحوكمة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والرقابة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الداخلية</w:t>
      </w:r>
    </w:p>
    <w:p w:rsidR="00000000" w:rsidDel="00000000" w:rsidP="00000000" w:rsidRDefault="00000000" w:rsidRPr="00000000" w14:paraId="0000006E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تعتمد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رقابي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متكامل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الامتثال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والشفافية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6F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الخطط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والتوقعات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المستقبلية</w:t>
      </w:r>
    </w:p>
    <w:p w:rsidR="00000000" w:rsidDel="00000000" w:rsidP="00000000" w:rsidRDefault="00000000" w:rsidRPr="00000000" w14:paraId="00000071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المالية</w:t>
      </w:r>
    </w:p>
    <w:p w:rsidR="00000000" w:rsidDel="00000000" w:rsidP="00000000" w:rsidRDefault="00000000" w:rsidRPr="00000000" w14:paraId="00000073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4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الإيرادات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%]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4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الربحية</w:t>
      </w:r>
    </w:p>
    <w:p w:rsidR="00000000" w:rsidDel="00000000" w:rsidP="00000000" w:rsidRDefault="00000000" w:rsidRPr="00000000" w14:paraId="00000076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المشاريع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المستقبلية</w:t>
      </w:r>
    </w:p>
    <w:p w:rsidR="00000000" w:rsidDel="00000000" w:rsidP="00000000" w:rsidRDefault="00000000" w:rsidRPr="00000000" w14:paraId="00000078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7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إطلاق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مشاريع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جديدة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7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التوسع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الأسواق</w:t>
      </w:r>
    </w:p>
    <w:p w:rsidR="00000000" w:rsidDel="00000000" w:rsidP="00000000" w:rsidRDefault="00000000" w:rsidRPr="00000000" w14:paraId="0000007B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b7b7b7" w:val="clear"/>
          <w:rtl w:val="1"/>
        </w:rPr>
        <w:t xml:space="preserve">النمو</w:t>
      </w:r>
    </w:p>
    <w:p w:rsidR="00000000" w:rsidDel="00000000" w:rsidP="00000000" w:rsidRDefault="00000000" w:rsidRPr="00000000" w14:paraId="0000007D">
      <w:pPr>
        <w:widowControl w:val="0"/>
        <w:shd w:fill="ffffff" w:val="clear"/>
        <w:bidi w:val="1"/>
        <w:spacing w:line="309.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استهداف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قطاعات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جديدة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shd w:fill="ffffff" w:val="clear"/>
        <w:bidi w:val="1"/>
        <w:spacing w:line="309.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الشراكات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الاستراتيجية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fawater.net</dc:creator>
</cp:coreProperties>
</file>